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282 vom 30. September 1977</w:t>
      </w:r>
    </w:p>
    <w:p>
      <w:r>
        <w:t>Bundesgericht (BGE), 1977-09-30, IT</w:t>
      </w:r>
    </w:p>
    <w:p>
      <w:r>
        <w:rPr>
          <w:b/>
        </w:rPr>
        <w:t xml:space="preserve">Quelle: </w:t>
      </w:r>
      <w:r>
        <w:t>https://mcp.opencaselaw.ch/entscheid/bge_103 IB 282</w:t>
      </w:r>
    </w:p>
    <w:p>
      <w:r>
        <w:t>FR: BGE 103 IB 282 du 30 septembre 1977</w:t>
      </w:r>
    </w:p>
    <w:p>
      <w:r>
        <w:t>IT: BGE 103 IB 282 del 30 settembre 1977</w:t>
      </w:r>
    </w:p>
    <w:p>
      <w:pPr>
        <w:pStyle w:val="Heading2"/>
      </w:pPr>
      <w:r>
        <w:t>Regeste</w:t>
      </w:r>
    </w:p>
    <w:p>
      <w:r>
        <w:t>Regeste Zoll und Warenumsatzsteuer bei Wareneinfuhr. Art. 16 Abs. 2 ZG; Art. 45 WUStB. Für eine Ware deliktischer, ausländischer Herkunft, welche irregulär in die Schweiz eingeführt wurde, aber vom rechtmässigen, im Ausland wohnhaften Eigentümer, dem sie in der Schweiz zurückgegeben worden ist, regulär wieder ausgeführt wird, besteht keine Pflicht zur Entrichtung der Einfuhrabgaben. In einem solchen Fall ist Art. 16 Abs. 2 ZG, welcher auf reguläre Geschäftsbeziehungen zugeschnitten ist, analog anwendbar. Für die Erhebung der Einfuhrabgaben ist der objektive Tatbestand massgebend; in einem Fall wie dem hier erwähnten kann, wer die Ware irregulär und bösgläubig eingeführt hat, selbst wenn er vermittels eines durch ihn oder andere im Ausland begangenen Verbrechens in Besitz der Ware gelangt ist, nicht zur Bezahlung der geschuldeten Abgabe verpflichtet werden (Präzisierung der Rechtsprechung) (E. 2). Die Hinfälligkeit der Abgabepflicht schliesst die Strafbarkeit für Steuerübertretungen, die derjenige begangen hat, der die Ware irregulär in die Schweiz einführte, nicht aus (E. 4).</w:t>
      </w:r>
    </w:p>
    <w:p>
      <w:pPr>
        <w:pStyle w:val="Heading2"/>
      </w:pPr>
      <w:r>
        <w:t>Erwägungen</w:t>
      </w:r>
    </w:p>
    <w:p>
      <w:r>
        <w:rPr>
          <w:b/>
        </w:rPr>
        <w:t>E. 2</w:t>
      </w:r>
    </w:p>
    <w:p>
      <w:r>
        <w:t>L'importazione delle merci soggiace all'imposta sulla cifra d'affari (ICA), ai sensi dell'art. 2 n. 2 e dell'art. 44 segg. DCA. Il ricorrente non contesta che gli incombeva in un primo tempo l'obbligo di pagare, in base alle menzionate disposizioni, l'ICA sui preziosi stimati a Fr. 3'949'455.--, importati clandestinamente in Svizzera. Egli eccepisce peraltro che tale obbligo è venuto meno in seguito alla comprovata riesportazione di tale merce. L' art. 16 cpv. 2 LD dovrebbe, a suo avviso, essere applicato analogicamente. BGE 103 Ib 282 S. 285 a) L' art. 16 cpv. 2 LD recita: "È rimborsato il dazio sulle merci estere sdoganate all'importazione che, a causa il rifiuto del destinatario o di rescissione del contratto di vendita o di commissione, o perché rimaste invendute, ritornano intatte al mittente all'estero; non è riscosso un dazio d'uscita." Ai sensi dell' art. 45 DCA , tale disposizione è applicabile anche alla riscossione dell'ICA. Ove siano dati i presupposti per il rimborso del dazio secondo l' art. 16 cpv. 2 LD , è rimborsata altresì l'ICA riscossa all'importazione. Irrilevante nella fattispecie è, per converso, la menzione dell' art. 16 cpv. 1 LD nell'art. 48 lett. g DCA, dato che quest'ultima disposizione concerne esclusivamente merci di ritorno di provenienza svizzera, reimportate in Svizzera, mentre nel caso in esame trattasi del rimborso dell'ICA in seguito a riesportazione all'estero. La Direzione generale delle dogane e la CFRD presuppongono che l' art. 16 cpv. 2 LD sia applicabile soltanto laddove la merce sia stata regolarmente dichiarata all'autorità doganale all'atto dell'importazione ed assoggettata secondo la normale procedura ai tributi d'importazione; a mente di tali autorità, la menzionata norma non sarebbe invece applicabile quando l'ICA sia stata riscossa dopo l'importazione su merce introdotta clandestinamente. Stante il carattere eccezionale del rimborso dei tributi d'importazione riscossi su merce di ritorno di provenienza straniera, le relative disposizioni dovrebbero essere interpretate restrittivamente. Sia in DTF 89 I 544 che in una decisione della CFRD pubblicata in Archiv für Schweizerisches Abgaberecht vol. 31 pag. 106 segg. sono contenute considerazioni nello stesso senso, ossia, lo sdoganamento regolare è ritenuto presupposto indispensabile perché la riesportazione possa comportare un diritto al rimborso. In DTF 102 Ib 347 nella causa Hansen il Tribunale federale ha tuttavia disatteso questo principio, rilevando che il diniego del rimborso in caso di mancato previo regolare sdoganamento costituirebbe una sanzione non prevista dalla legge per il caso d'inosservanza dell'obbligo di dichiarazione doganale. b) La Direzione generale delle dogane fa notare con ragione nelle proprie osservazioni che l' art. 16 cpv. 2 LD è stato adottato con mira alle regolari operazioni commerciali, e non per disciplinare il caso di merci rubate e introdotte in contrabbando. La stessa Amministrazione delle BGE 103 Ib 282 S. 286 dogane ha ritenuto nondimeno che un'applicazione letterale di tale norma ai casi di riesportazione di merce di contrabbando di provenienza furtiva è insoddisfacente, dato che in generale non sono adempiute le condizioni dell' art. 16 cpv. 2 LD (non ha avuto luogo alcun sdoganamento al momento dell'importazione; la merce non è rinviata al mittente; la riesportazione è dovuta a un motivo atipico; cfr. WELLAUER, Warenumsatzsteuer, n. 902, pag. 431 segg.). Effettivamente l' art. 16 cpv. 2 LD non disciplina gli aspetti fiscali della riesportazione di refurtiva proveniente dall'estero. L'Amministrazione delle dogane ha quindi sviluppato una prassi, secondo la quale la riesportazione nel paese di origine di merce rubata dà luogo al rimborso dei tributi d'importazione ove gli interessati siano in buona fede. Tale prassi si fonda sulla considerazione che, in linea di principio, non esisterebbe un diritto al rimborso, ma che, dandosi la buona fede, può procedersi al rimborso o al condono dei tributi in applicazione di quanto disposto dall' art. 127 cpv. 1 n. 4 LD per i casi in cui risulterebbe altrimenti un rigore particolare. c) Qualora si tenga fermo che l'ICA è destinata a colpire in modo del tutto obiettivo la cifra d'affari interna e l'importazione di merci, che pertanto l'immediata riesportazione (rispedizioni e fattispecie similari), non preceduta da operazioni di smercio effettuate in Svizzera, fa venir meno la causa materiale dei tributi d'importazione e dà quindi luogo al rimborso ai sensi dell' art. 16 cpv. 2 LD , appare erroneo subordinare il rimborso fondato sulla riesportazione di merce rubata introdotta in contrabbando all'accertamento della buona fede degli interessati. Il rimborso non costituisce nelle fattispecie menzionate dall' art. 16 cpv. 2 LD un trattamento doganale di favore di carattere eccezionale, bensì il riconoscimento, da parte del fisco, che è venuta meno successivamente la causa materiale della riscossione dei tributi d'importazione. Orbene, anche nel caso dell'immediata riesportazione di merci rubate contrabbandate in Svizzera viene meno la causa dei tributi d'importazione, e quindi dell'ICA. Qualora, conformemente alla citata prassi delle autorità doganali, il rimborso sia fatto dipendere dalla buona fede, l'ICA viene ad assumere la funzione di una pena (aggiuntiva) per fatti illeciti (furto, ricettazione, reato doganale). Tale funzione dell'ICA non è sorretta da alcuna base BGE 103 Ib 282 S. 287 legale. La lacuna della legge esistente per quanto concerne la merce rubata introdotta in contrabbando in Svizzera va colmata, tenendo conto della natura dell'ICA e della "ratio legis" del DCA, secondo criteri puramente obiettivi. Laddove la restituzione al proprietario e la riesportazione nel paese d'origine abbia fatto venir chiaramente meno la causa materiale della riscossione dei tributi d'importazione in una situazione obiettivamente analoga alle fattispecie presupposte dall' art. 16 cpv. 2 LD per il rimborso nel quadro di regolari relazioni d'affari, cessa la ragione di riscuotere l'ICA o sorge il diritto d'ottenerne il rimborso. Come già rilevato, esula infatti dall'ICA qualsiasi carattere di pena. d) Nel caso in esame è incontestato che la refurtiva è stata restituita per intervento della polizia alla legittima proprietaria e che è stata da quest'ultima riesportata in Italia. Per tale fatto è venuto successivamente meno il motivo di riscuotere l'ICA sull'importazione. In corretta applicazione della disciplina fiscale non può quindi più pretendersi dal ricorrente, benché egli ne fosse originariamente debitore, il pagamento dell'ICA sull'importazione.</w:t>
      </w:r>
    </w:p>
    <w:p>
      <w:r>
        <w:rPr>
          <w:b/>
        </w:rPr>
        <w:t>E. 4</w:t>
      </w:r>
    </w:p>
    <w:p>
      <w:r>
        <w:t>Per i motivi sopra esposti, la decisione impugnata che ha accertato l'obbligo del ricorrente di pagare l'ICA litigiosa deve essere annullata senza rinvio per violazione del diritto federale. L'inesistenza di detto obbligo non esclude ovviamente che il ricorrente possa esser punito ai sensi dell' art. 52 DCA per sottrazione o messa in pericolo dell'imposta. Il fatto che il debito fiscale del ricorrente, insorto con l'introduzione dei gioielli in Svizzera, sia venuto meno per circostanze aliene dalla sua volontà, non toglie che egli, nell'introdurre clandestinamente la merce di cui trattasi, abbia sottratto o messo in pericolo l'imposta e che di ciò debba rispondere personalmente. Occorre chiaramente distinguere tra la riscossione dell'imposta e gli aspetti penali degli atti con i quali il responsabile ha inteso sottrarla.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